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36686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b/>
          <w:bCs/>
          <w:sz w:val="28"/>
          <w:szCs w:val="28"/>
        </w:rPr>
        <w:t>9 settembre 2026</w:t>
      </w:r>
    </w:p>
    <w:p w14:paraId="5450DCC0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b/>
          <w:bCs/>
          <w:sz w:val="28"/>
          <w:szCs w:val="28"/>
        </w:rPr>
        <w:t>Oak Hill Bio</w:t>
      </w:r>
      <w:r w:rsidRPr="00030FAE">
        <w:rPr>
          <w:rFonts w:ascii="Times New Roman" w:hAnsi="Times New Roman" w:cs="Times New Roman"/>
          <w:sz w:val="28"/>
          <w:szCs w:val="28"/>
        </w:rPr>
        <w:br/>
        <w:t>3° piano, 1 Ashley Road</w:t>
      </w:r>
      <w:r w:rsidRPr="00030FAE">
        <w:rPr>
          <w:rFonts w:ascii="Times New Roman" w:hAnsi="Times New Roman" w:cs="Times New Roman"/>
          <w:sz w:val="28"/>
          <w:szCs w:val="28"/>
        </w:rPr>
        <w:br/>
        <w:t>Altrincham</w:t>
      </w:r>
      <w:r w:rsidRPr="00030FAE">
        <w:rPr>
          <w:rFonts w:ascii="Times New Roman" w:hAnsi="Times New Roman" w:cs="Times New Roman"/>
          <w:sz w:val="28"/>
          <w:szCs w:val="28"/>
        </w:rPr>
        <w:br/>
        <w:t>Cheshire, Regno Unito</w:t>
      </w:r>
      <w:r w:rsidRPr="00030FAE">
        <w:rPr>
          <w:rFonts w:ascii="Times New Roman" w:hAnsi="Times New Roman" w:cs="Times New Roman"/>
          <w:sz w:val="28"/>
          <w:szCs w:val="28"/>
        </w:rPr>
        <w:br/>
        <w:t>WA14 2DT</w:t>
      </w:r>
    </w:p>
    <w:p w14:paraId="3D3182D3" w14:textId="77777777" w:rsidR="00696448" w:rsidRPr="00030FAE" w:rsidRDefault="00030FAE">
      <w:pPr>
        <w:pStyle w:val="Titolo1"/>
        <w:rPr>
          <w:rFonts w:ascii="Times New Roman" w:hAnsi="Times New Roman" w:cs="Times New Roman"/>
          <w:sz w:val="28"/>
          <w:szCs w:val="28"/>
        </w:rPr>
      </w:pPr>
      <w:bookmarkStart w:id="0" w:name="Xf60eeec1926525694bcec64f071fd6c60f09d46"/>
      <w:r w:rsidRPr="00030FAE">
        <w:rPr>
          <w:rFonts w:ascii="Times New Roman" w:hAnsi="Times New Roman" w:cs="Times New Roman"/>
          <w:sz w:val="28"/>
          <w:szCs w:val="28"/>
        </w:rPr>
        <w:t>Un messaggio alla comunità della Sindrome di Angelman</w:t>
      </w:r>
    </w:p>
    <w:p w14:paraId="2F74A0A9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b/>
          <w:bCs/>
          <w:sz w:val="28"/>
          <w:szCs w:val="28"/>
        </w:rPr>
        <w:t>Care famiglie e membri della comunità della Sindrome di Angelman,</w:t>
      </w:r>
    </w:p>
    <w:p w14:paraId="28443C3A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vi scriviamo direttamente perché comprendiamo che il recente annuncio relativo all’esito negativo dello studio di Fase 3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ASPIRE su apazunersen (GTX-102)</w:t>
      </w:r>
      <w:r w:rsidRPr="00030FAE">
        <w:rPr>
          <w:rFonts w:ascii="Times New Roman" w:hAnsi="Times New Roman" w:cs="Times New Roman"/>
          <w:sz w:val="28"/>
          <w:szCs w:val="28"/>
        </w:rPr>
        <w:t xml:space="preserve"> rappresenti una notizia difficile da accogliere e abbiamo ricevuto dalla comunità richieste di aggiornamenti sui nostri programmi e sulle nostre valutazioni.</w:t>
      </w:r>
    </w:p>
    <w:p w14:paraId="5CC745D3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Sappiamo quanta speranza la comunità Angelman riponga in ogni sperimentazione clinica e quanto le famiglie offrano, in termini di tempo, fiducia e impegno, alla ricerca. La notizia comunicata da Ultragenyx è deludente e condividiamo con voi questa delusione.</w:t>
      </w:r>
    </w:p>
    <w:p w14:paraId="63CE97CD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A tutte le famiglie che hanno partecipato ad ASPIRE, così come ai ricercatori, ai team dello studio e alle associazioni e persone che ne hanno reso possibile la realizzazione: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grazie</w:t>
      </w:r>
      <w:r w:rsidRPr="00030FAE">
        <w:rPr>
          <w:rFonts w:ascii="Times New Roman" w:hAnsi="Times New Roman" w:cs="Times New Roman"/>
          <w:sz w:val="28"/>
          <w:szCs w:val="28"/>
        </w:rPr>
        <w:t>. Il vostro contributo è importante e aiuterà a far progredire la ricerca.</w:t>
      </w:r>
    </w:p>
    <w:p w14:paraId="07A27FBF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Sappiamo anche che notizie come questa sollevano naturalmente interrogativi riguardo ad altri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oligonucleotidi antisenso (ASO)</w:t>
      </w:r>
      <w:r w:rsidRPr="00030FAE">
        <w:rPr>
          <w:rFonts w:ascii="Times New Roman" w:hAnsi="Times New Roman" w:cs="Times New Roman"/>
          <w:sz w:val="28"/>
          <w:szCs w:val="28"/>
        </w:rPr>
        <w:t xml:space="preserve"> in fase di sperimentazione, tra cui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rugonersen</w:t>
      </w:r>
      <w:r w:rsidRPr="00030FAE">
        <w:rPr>
          <w:rFonts w:ascii="Times New Roman" w:hAnsi="Times New Roman" w:cs="Times New Roman"/>
          <w:sz w:val="28"/>
          <w:szCs w:val="28"/>
        </w:rPr>
        <w:t xml:space="preserve"> e il nostro studio di Fase 3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BEACON</w:t>
      </w:r>
      <w:r w:rsidRPr="00030FAE">
        <w:rPr>
          <w:rFonts w:ascii="Times New Roman" w:hAnsi="Times New Roman" w:cs="Times New Roman"/>
          <w:sz w:val="28"/>
          <w:szCs w:val="28"/>
        </w:rPr>
        <w:t>, attualmente in corso. Vogliamo affrontare queste domande nel modo più aperto possibile.</w:t>
      </w:r>
    </w:p>
    <w:p w14:paraId="000B87ED" w14:textId="77777777" w:rsidR="00696448" w:rsidRPr="00030FAE" w:rsidRDefault="00030FAE">
      <w:pPr>
        <w:pStyle w:val="Titolo2"/>
        <w:rPr>
          <w:rFonts w:ascii="Times New Roman" w:hAnsi="Times New Roman" w:cs="Times New Roman"/>
          <w:sz w:val="28"/>
          <w:szCs w:val="28"/>
        </w:rPr>
      </w:pPr>
      <w:bookmarkStart w:id="1" w:name="rugonersen-è-diverso-da-apazunersen"/>
      <w:r w:rsidRPr="00030FAE">
        <w:rPr>
          <w:rFonts w:ascii="Times New Roman" w:hAnsi="Times New Roman" w:cs="Times New Roman"/>
          <w:sz w:val="28"/>
          <w:szCs w:val="28"/>
        </w:rPr>
        <w:t>Rugonersen è diverso da apazunersen</w:t>
      </w:r>
    </w:p>
    <w:p w14:paraId="556A31CA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Non riteniamo che l’esito ottenuto con apazunersen possa prevedere l’esito di rugonersen, né che modifichi il nostro impegno nel valutare rigorosamente rugonersen nell’ambito dello studio di Fase 3 BEACON attualmente in corso.</w:t>
      </w:r>
    </w:p>
    <w:p w14:paraId="6604F00B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Sebbene rugonersen e apazunersen appartengano alla stessa ampia classe di medicinali sperimentali, denominati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ASO</w:t>
      </w:r>
      <w:r w:rsidRPr="00030FAE">
        <w:rPr>
          <w:rFonts w:ascii="Times New Roman" w:hAnsi="Times New Roman" w:cs="Times New Roman"/>
          <w:sz w:val="28"/>
          <w:szCs w:val="28"/>
        </w:rPr>
        <w:t xml:space="preserve">, si tratta di molecole distinte, con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sequenze, caratteristiche chimiche e bersagli differenti all’interno di UBE3A-ATS</w:t>
      </w:r>
      <w:r w:rsidRPr="00030FAE">
        <w:rPr>
          <w:rFonts w:ascii="Times New Roman" w:hAnsi="Times New Roman" w:cs="Times New Roman"/>
          <w:sz w:val="28"/>
          <w:szCs w:val="28"/>
        </w:rPr>
        <w:t xml:space="preserve"> (il trascritto antisenso che normalmente impedisce al gene paterno di produrre la proteina UBE3A).</w:t>
      </w:r>
    </w:p>
    <w:p w14:paraId="6679BF6B" w14:textId="77777777" w:rsidR="00696448" w:rsidRPr="00030FAE" w:rsidRDefault="00030FAE">
      <w:pPr>
        <w:pStyle w:val="Titolo2"/>
        <w:rPr>
          <w:rFonts w:ascii="Times New Roman" w:hAnsi="Times New Roman" w:cs="Times New Roman"/>
          <w:sz w:val="28"/>
          <w:szCs w:val="28"/>
        </w:rPr>
      </w:pPr>
      <w:bookmarkStart w:id="2" w:name="X54775716c06d782819f259818d9f18b40f68e90"/>
      <w:bookmarkEnd w:id="1"/>
      <w:r w:rsidRPr="00030FAE">
        <w:rPr>
          <w:rFonts w:ascii="Times New Roman" w:hAnsi="Times New Roman" w:cs="Times New Roman"/>
          <w:sz w:val="28"/>
          <w:szCs w:val="28"/>
        </w:rPr>
        <w:lastRenderedPageBreak/>
        <w:t>Continuiamo ad avere fiducia nel potenziale di rugonersen e nello studio di Fase 3 BEACON</w:t>
      </w:r>
    </w:p>
    <w:p w14:paraId="67B15B83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Continuiamo a ritenere che gli ASO diretti contro la biologia di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UBE3A</w:t>
      </w:r>
      <w:r w:rsidRPr="00030FAE">
        <w:rPr>
          <w:rFonts w:ascii="Times New Roman" w:hAnsi="Times New Roman" w:cs="Times New Roman"/>
          <w:sz w:val="28"/>
          <w:szCs w:val="28"/>
        </w:rPr>
        <w:t xml:space="preserve"> rappresentino un approccio promettente per lo sviluppo di terapie per la Sindrome di Angelman.</w:t>
      </w:r>
    </w:p>
    <w:p w14:paraId="1A10A328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Prodotti o medicinali sperimentali appartenenti alla stessa classe terapeutica possono differire notevolmente per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potenza, proprietà molecolari, attività biologica, dose, esposizione e distribuzione nel cervello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0B5004F5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Rugonersen è stato selezionato dopo la valutazione di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oltre 2.500 ASO</w:t>
      </w:r>
      <w:r w:rsidRPr="00030FAE">
        <w:rPr>
          <w:rFonts w:ascii="Times New Roman" w:hAnsi="Times New Roman" w:cs="Times New Roman"/>
          <w:sz w:val="28"/>
          <w:szCs w:val="28"/>
        </w:rPr>
        <w:t xml:space="preserve">, attraverso approfonditi studi </w:t>
      </w:r>
      <w:r w:rsidRPr="00030FAE">
        <w:rPr>
          <w:rFonts w:ascii="Times New Roman" w:hAnsi="Times New Roman" w:cs="Times New Roman"/>
          <w:i/>
          <w:iCs/>
          <w:sz w:val="28"/>
          <w:szCs w:val="28"/>
        </w:rPr>
        <w:t>in vitro</w:t>
      </w:r>
      <w:r w:rsidRPr="00030FAE">
        <w:rPr>
          <w:rFonts w:ascii="Times New Roman" w:hAnsi="Times New Roman" w:cs="Times New Roman"/>
          <w:sz w:val="28"/>
          <w:szCs w:val="28"/>
        </w:rPr>
        <w:t xml:space="preserve"> (nelle cellule) e </w:t>
      </w:r>
      <w:r w:rsidRPr="00030FAE">
        <w:rPr>
          <w:rFonts w:ascii="Times New Roman" w:hAnsi="Times New Roman" w:cs="Times New Roman"/>
          <w:i/>
          <w:iCs/>
          <w:sz w:val="28"/>
          <w:szCs w:val="28"/>
        </w:rPr>
        <w:t>in vivo</w:t>
      </w:r>
      <w:r w:rsidRPr="00030FAE">
        <w:rPr>
          <w:rFonts w:ascii="Times New Roman" w:hAnsi="Times New Roman" w:cs="Times New Roman"/>
          <w:sz w:val="28"/>
          <w:szCs w:val="28"/>
        </w:rPr>
        <w:t xml:space="preserve"> (negli animali).</w:t>
      </w:r>
    </w:p>
    <w:p w14:paraId="17DAF32A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La combinazione tra una promettente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potenza</w:t>
      </w:r>
      <w:r w:rsidRPr="00030FAE">
        <w:rPr>
          <w:rFonts w:ascii="Times New Roman" w:hAnsi="Times New Roman" w:cs="Times New Roman"/>
          <w:sz w:val="28"/>
          <w:szCs w:val="28"/>
        </w:rPr>
        <w:t xml:space="preserve"> — ossia la capacità di mostrare effetti a basse dosi — e la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selettività</w:t>
      </w:r>
      <w:r w:rsidRPr="00030FAE">
        <w:rPr>
          <w:rFonts w:ascii="Times New Roman" w:hAnsi="Times New Roman" w:cs="Times New Roman"/>
          <w:sz w:val="28"/>
          <w:szCs w:val="28"/>
        </w:rPr>
        <w:t xml:space="preserve"> — cioè la capacità di legarsi esclusivamente al proprio bersaglio — ha portato alla sperimentazione di rugonersen nello studio di Fase 1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TANGELO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45AF42A9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Lo studio di Fase 1 TANGELO ha mostrato che rugonersen presenta un promettente potenziale di miglioramento in diversi ambiti clinicamente significativi, tra cui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cognizione e comunicazione</w:t>
      </w:r>
      <w:r w:rsidRPr="00030FAE">
        <w:rPr>
          <w:rFonts w:ascii="Times New Roman" w:hAnsi="Times New Roman" w:cs="Times New Roman"/>
          <w:sz w:val="28"/>
          <w:szCs w:val="28"/>
        </w:rPr>
        <w:t xml:space="preserve">, ha determinato un miglioramento dell’importante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banda delta dell’EEG</w:t>
      </w:r>
      <w:r w:rsidRPr="00030FAE">
        <w:rPr>
          <w:rFonts w:ascii="Times New Roman" w:hAnsi="Times New Roman" w:cs="Times New Roman"/>
          <w:sz w:val="28"/>
          <w:szCs w:val="28"/>
        </w:rPr>
        <w:t xml:space="preserve"> e ha mostrato un profilo accettabile di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sicurezza e tollerabilità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6F9D3445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L’insieme di questi dati ci dà fiducia nel proseguire lo studio di rugonersen nell’attuale sperimentazione di Fase 3 BEACON, nella quale rugonersen viene somministrato alla dose di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120 mg ogni 12 settimane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7CEB23F6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È importante essere chiari: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tutto questo non significa che rugonersen funzionerà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63CF9FF5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Non possiamo conoscere in anticipo l’esito di una sperimentazione clinica e non vogliamo suggerire il contrario a una comunità che merita onestà e trasparenza.</w:t>
      </w:r>
    </w:p>
    <w:p w14:paraId="2F386321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Lo scopo dello studio di Fase 3 BEACON è proprio quello di determinare se rugonersen possa offrire un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beneficio significativo alle persone con Sindrome di Angelman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213FBCC3" w14:textId="77777777" w:rsidR="00696448" w:rsidRPr="00030FAE" w:rsidRDefault="00030FAE">
      <w:pPr>
        <w:pStyle w:val="Titolo2"/>
        <w:rPr>
          <w:rFonts w:ascii="Times New Roman" w:hAnsi="Times New Roman" w:cs="Times New Roman"/>
          <w:sz w:val="28"/>
          <w:szCs w:val="28"/>
        </w:rPr>
      </w:pPr>
      <w:bookmarkStart w:id="3" w:name="il-nostro-impegno"/>
      <w:bookmarkEnd w:id="2"/>
      <w:r w:rsidRPr="00030FAE">
        <w:rPr>
          <w:rFonts w:ascii="Times New Roman" w:hAnsi="Times New Roman" w:cs="Times New Roman"/>
          <w:sz w:val="28"/>
          <w:szCs w:val="28"/>
        </w:rPr>
        <w:t>Il nostro impegno</w:t>
      </w:r>
    </w:p>
    <w:p w14:paraId="25393B2A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Ciò che possiamo promettere è che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seguiremo la scienza, metteremo al primo posto la sicurezza dei partecipanti, condurremo BEACON con il massimo rigore e comunicheremo in modo aperto e tempestivo con questa comunità ciò che apprenderemo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1F9F882F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Continuiamo ad avere fiducia nel potenziale di rugonersen e, soprattutto, restiamo profondamente impegnati al fianco delle persone con Sindrome di Angelman e delle loro famiglie.</w:t>
      </w:r>
    </w:p>
    <w:p w14:paraId="46384951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Grazie per la vostra continua fiducia.</w:t>
      </w:r>
    </w:p>
    <w:p w14:paraId="786184E2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b/>
          <w:bCs/>
          <w:sz w:val="28"/>
          <w:szCs w:val="28"/>
        </w:rPr>
        <w:lastRenderedPageBreak/>
        <w:t>Cordiali saluti,</w:t>
      </w:r>
    </w:p>
    <w:p w14:paraId="5033D7D9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b/>
          <w:bCs/>
          <w:sz w:val="28"/>
          <w:szCs w:val="28"/>
        </w:rPr>
        <w:t>Brenda Vincenzi, MD</w:t>
      </w:r>
      <w:r w:rsidRPr="00030FAE">
        <w:rPr>
          <w:rFonts w:ascii="Times New Roman" w:hAnsi="Times New Roman" w:cs="Times New Roman"/>
          <w:sz w:val="28"/>
          <w:szCs w:val="28"/>
        </w:rPr>
        <w:br/>
        <w:t>Chief Medical Officer</w:t>
      </w:r>
      <w:r w:rsidRPr="00030FAE">
        <w:rPr>
          <w:rFonts w:ascii="Times New Roman" w:hAnsi="Times New Roman" w:cs="Times New Roman"/>
          <w:sz w:val="28"/>
          <w:szCs w:val="28"/>
        </w:rPr>
        <w:br/>
        <w:t>Oak Hill Bio</w:t>
      </w:r>
    </w:p>
    <w:p w14:paraId="6FEC8283" w14:textId="77777777" w:rsidR="00696448" w:rsidRPr="00030FAE" w:rsidRDefault="00030FAE">
      <w:pPr>
        <w:pStyle w:val="Titolo1"/>
        <w:rPr>
          <w:rFonts w:ascii="Times New Roman" w:hAnsi="Times New Roman" w:cs="Times New Roman"/>
          <w:sz w:val="28"/>
          <w:szCs w:val="28"/>
        </w:rPr>
      </w:pPr>
      <w:bookmarkStart w:id="4" w:name="domande-frequenti-faq"/>
      <w:bookmarkEnd w:id="0"/>
      <w:bookmarkEnd w:id="3"/>
      <w:r w:rsidRPr="00030FAE">
        <w:rPr>
          <w:rFonts w:ascii="Times New Roman" w:hAnsi="Times New Roman" w:cs="Times New Roman"/>
          <w:sz w:val="28"/>
          <w:szCs w:val="28"/>
        </w:rPr>
        <w:t>Domande frequenti (FAQ)</w:t>
      </w:r>
    </w:p>
    <w:p w14:paraId="5F57BDE5" w14:textId="77777777" w:rsidR="00696448" w:rsidRPr="00030FAE" w:rsidRDefault="00030FAE">
      <w:pPr>
        <w:pStyle w:val="Titolo3"/>
        <w:rPr>
          <w:rFonts w:ascii="Times New Roman" w:hAnsi="Times New Roman" w:cs="Times New Roman"/>
        </w:rPr>
      </w:pPr>
      <w:bookmarkStart w:id="5" w:name="X02e46a057d638117c4b2f3a166ccd3ef86b9351"/>
      <w:r w:rsidRPr="00030FAE">
        <w:rPr>
          <w:rFonts w:ascii="Times New Roman" w:hAnsi="Times New Roman" w:cs="Times New Roman"/>
        </w:rPr>
        <w:t>Il risultato di ASPIRE significa che gli ASO non funzionano nella Sindrome di Angelman?</w:t>
      </w:r>
    </w:p>
    <w:p w14:paraId="441CE005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b/>
          <w:bCs/>
          <w:sz w:val="28"/>
          <w:szCs w:val="28"/>
        </w:rPr>
        <w:t>Non riteniamo che sia così.</w:t>
      </w:r>
    </w:p>
    <w:p w14:paraId="22CAF3E3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Una singola sperimentazione clinica non può stabilire se tutti gli ASO funzioneranno o meno nella Sindrome di Angelman.</w:t>
      </w:r>
    </w:p>
    <w:p w14:paraId="5EFB1DA9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Prodotti o medicinali sperimentali appartenenti alla stessa classe terapeutica possono differire significativamente per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potenza, proprietà molecolari, attività biologica, dose, esposizione e distribuzione nel cervello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62ADC032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Anche gli studi clinici possono differire per quanto riguarda i partecipanti coinvolti, la durata del trattamento e le modalità utilizzate per misurare il beneficio.</w:t>
      </w:r>
    </w:p>
    <w:p w14:paraId="3EB33C45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Come già affermato, gli studi di laboratorio e sugli animali hanno mostrato che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rugonersen presentava una maggiore potenza rispetto ad apazunersen nel ripristinare la produzione della proteina UBE3A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7D1BF170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Valuteremo attentamente i risultati di ASPIRE quando saranno disponibili, ma, in definitiva,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rugonersen sarà valutato sulla base dei propri dati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340A55BE" w14:textId="77777777" w:rsidR="00696448" w:rsidRPr="00030FAE" w:rsidRDefault="00030FAE">
      <w:pPr>
        <w:pStyle w:val="Titolo3"/>
        <w:rPr>
          <w:rFonts w:ascii="Times New Roman" w:hAnsi="Times New Roman" w:cs="Times New Roman"/>
        </w:rPr>
      </w:pPr>
      <w:bookmarkStart w:id="6" w:name="cosa-rende-rugonersen-diverso"/>
      <w:bookmarkEnd w:id="5"/>
      <w:r w:rsidRPr="00030FAE">
        <w:rPr>
          <w:rFonts w:ascii="Times New Roman" w:hAnsi="Times New Roman" w:cs="Times New Roman"/>
        </w:rPr>
        <w:t>Cosa rende rugonersen diverso?</w:t>
      </w:r>
    </w:p>
    <w:p w14:paraId="0B881DD6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Rugonersen è un ASO distinto, selezionato attraverso un ampio programma di ricerca che ha valutato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oltre 2.500 ASO candidati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7FED5CFA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Rugonersen è stato selezionato per l’ulteriore sviluppo sulla base della dimostrazione di una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eccezionale potenza nel ripristinare la proteina UBE3A e della sua specificità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5014D28A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Riteniamo inoltre che sia supportato dal più ampio insieme di dati sottoposti a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peer review</w:t>
      </w:r>
      <w:r w:rsidRPr="00030FAE">
        <w:rPr>
          <w:rFonts w:ascii="Times New Roman" w:hAnsi="Times New Roman" w:cs="Times New Roman"/>
          <w:sz w:val="28"/>
          <w:szCs w:val="28"/>
        </w:rPr>
        <w:t xml:space="preserve"> che ne dimostrano l’attività preclinica e clinica.</w:t>
      </w:r>
    </w:p>
    <w:p w14:paraId="49DDCB61" w14:textId="77777777" w:rsidR="00696448" w:rsidRPr="00030FAE" w:rsidRDefault="00030FAE">
      <w:pPr>
        <w:pStyle w:val="Titolo3"/>
        <w:rPr>
          <w:rFonts w:ascii="Times New Roman" w:hAnsi="Times New Roman" w:cs="Times New Roman"/>
        </w:rPr>
      </w:pPr>
      <w:bookmarkStart w:id="7" w:name="Xf0b4e72b17ac587007340517eaa2ac7c345dd55"/>
      <w:bookmarkEnd w:id="6"/>
      <w:r w:rsidRPr="00030FAE">
        <w:rPr>
          <w:rFonts w:ascii="Times New Roman" w:hAnsi="Times New Roman" w:cs="Times New Roman"/>
        </w:rPr>
        <w:t>I risultati di ASPIRE potrebbero avere conseguenze su BEACON?</w:t>
      </w:r>
    </w:p>
    <w:p w14:paraId="5CD01A82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Prendiamo molto seriamente i risultati di ogni studio sulla Sindrome di Angelman e analizzeremo attentamente i dati completi di ASPIRE quando saranno disponibili.</w:t>
      </w:r>
    </w:p>
    <w:p w14:paraId="3695D800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b/>
          <w:bCs/>
          <w:sz w:val="28"/>
          <w:szCs w:val="28"/>
        </w:rPr>
        <w:lastRenderedPageBreak/>
        <w:t>Rimaniamo pienamente impegnati nei confronti della comunità della Sindrome di Angelman.</w:t>
      </w:r>
    </w:p>
    <w:p w14:paraId="2D8C4B9F" w14:textId="77777777" w:rsidR="00696448" w:rsidRPr="00030FAE" w:rsidRDefault="00030FAE">
      <w:pPr>
        <w:pStyle w:val="Titolo3"/>
        <w:rPr>
          <w:rFonts w:ascii="Times New Roman" w:hAnsi="Times New Roman" w:cs="Times New Roman"/>
        </w:rPr>
      </w:pPr>
      <w:bookmarkStart w:id="8" w:name="X637e086911c3d741fc4817a15cb8911c37fc2ff"/>
      <w:bookmarkEnd w:id="7"/>
      <w:r w:rsidRPr="00030FAE">
        <w:rPr>
          <w:rFonts w:ascii="Times New Roman" w:hAnsi="Times New Roman" w:cs="Times New Roman"/>
        </w:rPr>
        <w:t>Cosa succederebbe se BEACON non dimostrasse un beneficio?</w:t>
      </w:r>
    </w:p>
    <w:p w14:paraId="7A3DE182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L’esito di nessuna sperimentazione clinica può essere garantito.</w:t>
      </w:r>
    </w:p>
    <w:p w14:paraId="330134C2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BEACON viene condotto proprio per determinare se rugonersen possa fornire un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beneficio clinico significativo</w:t>
      </w:r>
      <w:r w:rsidRPr="00030FAE">
        <w:rPr>
          <w:rFonts w:ascii="Times New Roman" w:hAnsi="Times New Roman" w:cs="Times New Roman"/>
          <w:sz w:val="28"/>
          <w:szCs w:val="28"/>
        </w:rPr>
        <w:t xml:space="preserve"> e per caratterizzarne ulteriormente il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profilo di sicurezza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</w:p>
    <w:p w14:paraId="5051CC1E" w14:textId="77777777" w:rsidR="00696448" w:rsidRPr="00030FAE" w:rsidRDefault="00030FAE">
      <w:pPr>
        <w:pStyle w:val="Titolo3"/>
        <w:rPr>
          <w:rFonts w:ascii="Times New Roman" w:hAnsi="Times New Roman" w:cs="Times New Roman"/>
        </w:rPr>
      </w:pPr>
      <w:bookmarkStart w:id="9" w:name="Xe763bad9618daa864812b2b791777207b73c21b"/>
      <w:bookmarkEnd w:id="8"/>
      <w:r w:rsidRPr="00030FAE">
        <w:rPr>
          <w:rFonts w:ascii="Times New Roman" w:hAnsi="Times New Roman" w:cs="Times New Roman"/>
        </w:rPr>
        <w:t>A chi possono rivolgersi le famiglie per eventuali domande?</w:t>
      </w:r>
    </w:p>
    <w:p w14:paraId="6D108C56" w14:textId="77777777" w:rsidR="00696448" w:rsidRPr="00030FAE" w:rsidRDefault="00030FAE">
      <w:pPr>
        <w:pStyle w:val="FirstParagraph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>Sappiamo che potreste avere domande specifiche relative alla vostra situazione personale e vogliamo che abbiate qualcuno a cui poterle rivolgere.</w:t>
      </w:r>
    </w:p>
    <w:p w14:paraId="2EE4BF99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Se partecipate a uno studio clinico, il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ricercatore responsabile dello studio o il team dello studio</w:t>
      </w:r>
      <w:r w:rsidRPr="00030FAE">
        <w:rPr>
          <w:rFonts w:ascii="Times New Roman" w:hAnsi="Times New Roman" w:cs="Times New Roman"/>
          <w:sz w:val="28"/>
          <w:szCs w:val="28"/>
        </w:rPr>
        <w:t xml:space="preserve"> rappresentano il primo riferimento più appropriato: conoscono la vostra situazione e possono discuterne direttamente con voi.</w:t>
      </w:r>
    </w:p>
    <w:p w14:paraId="189709E8" w14:textId="77777777" w:rsidR="00696448" w:rsidRPr="00030FAE" w:rsidRDefault="00030FAE">
      <w:pPr>
        <w:pStyle w:val="Corpotesto"/>
        <w:rPr>
          <w:rFonts w:ascii="Times New Roman" w:hAnsi="Times New Roman" w:cs="Times New Roman"/>
          <w:sz w:val="28"/>
          <w:szCs w:val="28"/>
        </w:rPr>
      </w:pPr>
      <w:r w:rsidRPr="00030FAE">
        <w:rPr>
          <w:rFonts w:ascii="Times New Roman" w:hAnsi="Times New Roman" w:cs="Times New Roman"/>
          <w:sz w:val="28"/>
          <w:szCs w:val="28"/>
        </w:rPr>
        <w:t xml:space="preserve">Potete inoltre rivolgervi al </w:t>
      </w:r>
      <w:r w:rsidRPr="00030FAE">
        <w:rPr>
          <w:rFonts w:ascii="Times New Roman" w:hAnsi="Times New Roman" w:cs="Times New Roman"/>
          <w:b/>
          <w:bCs/>
          <w:sz w:val="28"/>
          <w:szCs w:val="28"/>
        </w:rPr>
        <w:t>medico che vi segue, al vostro centro specializzato nella Sindrome di Angelman oppure alla vostra associazione di pazienti</w:t>
      </w:r>
      <w:r w:rsidRPr="00030FAE">
        <w:rPr>
          <w:rFonts w:ascii="Times New Roman" w:hAnsi="Times New Roman" w:cs="Times New Roman"/>
          <w:sz w:val="28"/>
          <w:szCs w:val="28"/>
        </w:rPr>
        <w:t>.</w:t>
      </w:r>
      <w:bookmarkEnd w:id="4"/>
      <w:bookmarkEnd w:id="9"/>
    </w:p>
    <w:sectPr w:rsidR="00696448" w:rsidRPr="00030FAE">
      <w:footnotePr>
        <w:numRestart w:val="eachSect"/>
      </w:footnotePr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5DF26DE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 w16cid:durableId="766120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448"/>
    <w:rsid w:val="00030FAE"/>
    <w:rsid w:val="00567036"/>
    <w:rsid w:val="00696448"/>
    <w:rsid w:val="00D2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87A09"/>
  <w15:docId w15:val="{8DF1BF0D-89A4-4CB1-BEB2-9D6A257C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Corpotesto"/>
    <w:link w:val="Titolo1Carattere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Corpotesto"/>
    <w:link w:val="Titolo2Carattere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Corpotesto"/>
    <w:link w:val="Titolo3Carattere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Corpotesto"/>
    <w:link w:val="Titolo4Carattere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Corpotesto"/>
    <w:link w:val="Titolo5Carattere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Corpotesto"/>
    <w:link w:val="Titolo6Carattere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Corpotesto"/>
    <w:link w:val="Titolo7Carattere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Corpotesto"/>
    <w:link w:val="Titolo8Carattere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Corpotesto"/>
    <w:link w:val="Titolo9Carattere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qFormat/>
    <w:pPr>
      <w:spacing w:before="180" w:after="180"/>
    </w:pPr>
  </w:style>
  <w:style w:type="paragraph" w:customStyle="1" w:styleId="FirstParagraph">
    <w:name w:val="First Paragraph"/>
    <w:basedOn w:val="Corpotesto"/>
    <w:next w:val="Corpotesto"/>
    <w:qFormat/>
  </w:style>
  <w:style w:type="paragraph" w:customStyle="1" w:styleId="Compact">
    <w:name w:val="Compact"/>
    <w:basedOn w:val="Corpotesto"/>
    <w:qFormat/>
    <w:pPr>
      <w:spacing w:before="36" w:after="36"/>
    </w:pPr>
  </w:style>
  <w:style w:type="paragraph" w:styleId="Titolo">
    <w:name w:val="Title"/>
    <w:basedOn w:val="Normale"/>
    <w:next w:val="Corpotesto"/>
    <w:link w:val="TitoloCarattere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ottotitolo">
    <w:name w:val="Subtitle"/>
    <w:basedOn w:val="Titolo"/>
    <w:next w:val="Corpotesto"/>
    <w:link w:val="SottotitoloCarattere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olo"/>
    <w:next w:val="Corpotesto"/>
    <w:qFormat/>
    <w:pPr>
      <w:keepNext/>
      <w:keepLines/>
    </w:pPr>
    <w:rPr>
      <w:sz w:val="24"/>
      <w:szCs w:val="24"/>
    </w:rPr>
  </w:style>
  <w:style w:type="paragraph" w:styleId="Data">
    <w:name w:val="Date"/>
    <w:basedOn w:val="Titolo"/>
    <w:next w:val="Corpotesto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e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e"/>
    <w:next w:val="Corpotesto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e"/>
    <w:qFormat/>
  </w:style>
  <w:style w:type="character" w:customStyle="1" w:styleId="Titolo1Carattere">
    <w:name w:val="Titolo 1 Carattere"/>
    <w:basedOn w:val="Carpredefinitoparagrafo"/>
    <w:link w:val="Tito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stodelblocco">
    <w:name w:val="Block Text"/>
    <w:basedOn w:val="Corpotesto"/>
    <w:next w:val="Corpotesto"/>
    <w:uiPriority w:val="9"/>
    <w:unhideWhenUsed/>
    <w:qFormat/>
    <w:pPr>
      <w:spacing w:before="100" w:after="100"/>
      <w:ind w:left="480" w:right="480"/>
    </w:pPr>
  </w:style>
  <w:style w:type="paragraph" w:styleId="Testonotaapidipagina">
    <w:name w:val="footnote text"/>
    <w:basedOn w:val="Normale"/>
    <w:uiPriority w:val="9"/>
    <w:unhideWhenUsed/>
    <w:qFormat/>
  </w:style>
  <w:style w:type="paragraph" w:customStyle="1" w:styleId="FootnoteBlockText">
    <w:name w:val="Footnote Block Text"/>
    <w:basedOn w:val="Testonotaapidipagina"/>
    <w:next w:val="Testonotaapidipagina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e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e"/>
  </w:style>
  <w:style w:type="paragraph" w:styleId="Didascalia">
    <w:name w:val="caption"/>
    <w:basedOn w:val="Normale"/>
    <w:link w:val="DidascaliaCarattere"/>
    <w:pPr>
      <w:spacing w:after="120"/>
    </w:pPr>
    <w:rPr>
      <w:i/>
    </w:rPr>
  </w:style>
  <w:style w:type="paragraph" w:customStyle="1" w:styleId="TableCaption">
    <w:name w:val="Table Caption"/>
    <w:basedOn w:val="Didascalia"/>
    <w:pPr>
      <w:keepNext/>
    </w:pPr>
  </w:style>
  <w:style w:type="paragraph" w:customStyle="1" w:styleId="ImageCaption">
    <w:name w:val="Image Caption"/>
    <w:basedOn w:val="Didascalia"/>
  </w:style>
  <w:style w:type="paragraph" w:customStyle="1" w:styleId="Figure">
    <w:name w:val="Figure"/>
    <w:basedOn w:val="Normale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idascaliaCarattere">
    <w:name w:val="Didascalia Carattere"/>
    <w:basedOn w:val="Carpredefinitoparagrafo"/>
    <w:link w:val="Didascalia"/>
  </w:style>
  <w:style w:type="character" w:customStyle="1" w:styleId="VerbatimChar">
    <w:name w:val="Verbatim Char"/>
    <w:basedOn w:val="DidascaliaCarattere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idascaliaCarattere"/>
  </w:style>
  <w:style w:type="character" w:styleId="Rimandonotaapidipagina">
    <w:name w:val="footnote reference"/>
    <w:basedOn w:val="DidascaliaCarattere"/>
    <w:rPr>
      <w:vertAlign w:val="superscript"/>
    </w:rPr>
  </w:style>
  <w:style w:type="character" w:styleId="Collegamentoipertestuale">
    <w:name w:val="Hyperlink"/>
    <w:basedOn w:val="DidascaliaCarattere"/>
    <w:rPr>
      <w:color w:val="156082" w:themeColor="accent1"/>
    </w:rPr>
  </w:style>
  <w:style w:type="paragraph" w:styleId="Titolosommario">
    <w:name w:val="TOC Heading"/>
    <w:basedOn w:val="Titolo1"/>
    <w:next w:val="Corpotesto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e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Tommaso Prisco</dc:creator>
  <cp:keywords/>
  <cp:lastModifiedBy>Giulia Prisco</cp:lastModifiedBy>
  <cp:revision>2</cp:revision>
  <dcterms:created xsi:type="dcterms:W3CDTF">2026-09-10T10:00:00Z</dcterms:created>
  <dcterms:modified xsi:type="dcterms:W3CDTF">2026-09-10T10:00:00Z</dcterms:modified>
</cp:coreProperties>
</file>